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9790" w14:textId="703690DB" w:rsidR="00437166" w:rsidRPr="00BF187A" w:rsidRDefault="00BF187A" w:rsidP="00BF187A">
      <w:pPr>
        <w:spacing w:line="240" w:lineRule="exact"/>
        <w:jc w:val="center"/>
        <w:rPr>
          <w:b/>
          <w:bCs/>
          <w:sz w:val="24"/>
          <w:szCs w:val="24"/>
        </w:rPr>
      </w:pPr>
      <w:r w:rsidRPr="00BF187A">
        <w:rPr>
          <w:rFonts w:hint="eastAsia"/>
          <w:b/>
          <w:bCs/>
          <w:sz w:val="24"/>
          <w:szCs w:val="24"/>
        </w:rPr>
        <w:t>行政書士領収書の</w:t>
      </w:r>
      <w:r w:rsidR="00437166" w:rsidRPr="00BF187A">
        <w:rPr>
          <w:rFonts w:hint="eastAsia"/>
          <w:b/>
          <w:bCs/>
          <w:sz w:val="24"/>
          <w:szCs w:val="24"/>
        </w:rPr>
        <w:t>印紙税法非課税について</w:t>
      </w:r>
      <w:r w:rsidRPr="00BF187A">
        <w:rPr>
          <w:rFonts w:hint="eastAsia"/>
          <w:b/>
          <w:bCs/>
          <w:sz w:val="24"/>
          <w:szCs w:val="24"/>
        </w:rPr>
        <w:t>説明</w:t>
      </w:r>
    </w:p>
    <w:p w14:paraId="70B454E4" w14:textId="77777777" w:rsidR="00437166" w:rsidRPr="00BF187A" w:rsidRDefault="00437166" w:rsidP="00437166">
      <w:pPr>
        <w:spacing w:line="240" w:lineRule="exact"/>
        <w:rPr>
          <w:sz w:val="36"/>
          <w:szCs w:val="36"/>
        </w:rPr>
      </w:pPr>
    </w:p>
    <w:p w14:paraId="44415035" w14:textId="3FF1308C" w:rsidR="00437166" w:rsidRPr="00BF187A" w:rsidRDefault="00437166" w:rsidP="00437166">
      <w:pPr>
        <w:spacing w:line="240" w:lineRule="exact"/>
        <w:rPr>
          <w:rFonts w:hint="eastAsia"/>
          <w:szCs w:val="21"/>
        </w:rPr>
      </w:pPr>
      <w:r w:rsidRPr="00BF187A">
        <w:rPr>
          <w:rFonts w:hint="eastAsia"/>
          <w:szCs w:val="21"/>
        </w:rPr>
        <w:t>印紙税法</w:t>
      </w:r>
    </w:p>
    <w:p w14:paraId="597DE650" w14:textId="77777777" w:rsidR="00437166" w:rsidRPr="00437166" w:rsidRDefault="00437166" w:rsidP="00437166">
      <w:pPr>
        <w:widowControl/>
        <w:spacing w:line="240" w:lineRule="exact"/>
        <w:jc w:val="left"/>
        <w:textAlignment w:val="baseline"/>
        <w:rPr>
          <w:rFonts w:ascii="メイリオ" w:eastAsia="メイリオ" w:hAnsi="メイリオ" w:cs="ＭＳ Ｐゴシック"/>
          <w:b/>
          <w:bCs/>
          <w:color w:val="323232"/>
          <w:kern w:val="0"/>
          <w:szCs w:val="21"/>
          <w14:ligatures w14:val="none"/>
        </w:rPr>
      </w:pPr>
      <w:r w:rsidRPr="00437166">
        <w:rPr>
          <w:rFonts w:ascii="メイリオ" w:eastAsia="メイリオ" w:hAnsi="メイリオ" w:cs="ＭＳ Ｐゴシック" w:hint="eastAsia"/>
          <w:b/>
          <w:bCs/>
          <w:color w:val="323232"/>
          <w:kern w:val="0"/>
          <w:szCs w:val="21"/>
          <w14:ligatures w14:val="none"/>
        </w:rPr>
        <w:t>非課税文書）</w:t>
      </w:r>
    </w:p>
    <w:p w14:paraId="4DF967AC" w14:textId="77777777" w:rsidR="00437166" w:rsidRPr="00437166" w:rsidRDefault="00437166" w:rsidP="00437166">
      <w:pPr>
        <w:widowControl/>
        <w:spacing w:line="240" w:lineRule="exact"/>
        <w:ind w:hanging="240"/>
        <w:jc w:val="left"/>
        <w:textAlignment w:val="baseline"/>
        <w:rPr>
          <w:rFonts w:ascii="メイリオ" w:eastAsia="メイリオ" w:hAnsi="メイリオ" w:cs="ＭＳ Ｐゴシック" w:hint="eastAsia"/>
          <w:color w:val="323232"/>
          <w:kern w:val="0"/>
          <w:szCs w:val="21"/>
          <w14:ligatures w14:val="none"/>
        </w:rPr>
      </w:pPr>
      <w:r w:rsidRPr="00437166">
        <w:rPr>
          <w:rFonts w:ascii="inherit" w:eastAsia="メイリオ" w:hAnsi="inherit" w:cs="ＭＳ Ｐゴシック"/>
          <w:b/>
          <w:bCs/>
          <w:color w:val="323232"/>
          <w:kern w:val="0"/>
          <w:szCs w:val="21"/>
          <w:bdr w:val="none" w:sz="0" w:space="0" w:color="auto" w:frame="1"/>
          <w14:ligatures w14:val="none"/>
        </w:rPr>
        <w:t>第五条</w:t>
      </w:r>
      <w:r w:rsidRPr="00437166">
        <w:rPr>
          <w:rFonts w:ascii="メイリオ" w:eastAsia="メイリオ" w:hAnsi="メイリオ" w:cs="ＭＳ Ｐゴシック" w:hint="eastAsia"/>
          <w:color w:val="323232"/>
          <w:kern w:val="0"/>
          <w:szCs w:val="21"/>
          <w14:ligatures w14:val="none"/>
        </w:rPr>
        <w:t xml:space="preserve">　別表第一の課税物件の欄に掲げる文書のうち、次に掲げるものには、印紙税を課さない。</w:t>
      </w:r>
    </w:p>
    <w:p w14:paraId="740B1ECD" w14:textId="77777777" w:rsidR="00437166" w:rsidRPr="00437166" w:rsidRDefault="00437166" w:rsidP="00437166">
      <w:pPr>
        <w:widowControl/>
        <w:spacing w:line="240" w:lineRule="exact"/>
        <w:ind w:hanging="240"/>
        <w:jc w:val="left"/>
        <w:textAlignment w:val="baseline"/>
        <w:rPr>
          <w:rFonts w:ascii="メイリオ" w:eastAsia="メイリオ" w:hAnsi="メイリオ" w:cs="ＭＳ Ｐゴシック" w:hint="eastAsia"/>
          <w:color w:val="323232"/>
          <w:kern w:val="0"/>
          <w:sz w:val="20"/>
          <w:szCs w:val="20"/>
          <w14:ligatures w14:val="none"/>
        </w:rPr>
      </w:pPr>
      <w:r w:rsidRPr="00437166">
        <w:rPr>
          <w:rFonts w:ascii="inherit" w:eastAsia="メイリオ" w:hAnsi="inherit" w:cs="ＭＳ Ｐゴシック"/>
          <w:b/>
          <w:bCs/>
          <w:color w:val="323232"/>
          <w:kern w:val="0"/>
          <w:sz w:val="20"/>
          <w:szCs w:val="20"/>
          <w:highlight w:val="yellow"/>
          <w:bdr w:val="none" w:sz="0" w:space="0" w:color="auto" w:frame="1"/>
          <w14:ligatures w14:val="none"/>
        </w:rPr>
        <w:t>一</w:t>
      </w:r>
      <w:r w:rsidRPr="00437166">
        <w:rPr>
          <w:rFonts w:ascii="メイリオ" w:eastAsia="メイリオ" w:hAnsi="メイリオ" w:cs="ＭＳ Ｐゴシック" w:hint="eastAsia"/>
          <w:color w:val="323232"/>
          <w:kern w:val="0"/>
          <w:sz w:val="20"/>
          <w:szCs w:val="20"/>
          <w:highlight w:val="yellow"/>
          <w14:ligatures w14:val="none"/>
        </w:rPr>
        <w:t xml:space="preserve">　別表第一の非課税物件の欄に掲げる文書</w:t>
      </w:r>
    </w:p>
    <w:p w14:paraId="69A99F32" w14:textId="77777777" w:rsidR="00437166" w:rsidRPr="00437166" w:rsidRDefault="00437166" w:rsidP="00437166">
      <w:pPr>
        <w:widowControl/>
        <w:spacing w:line="240" w:lineRule="exact"/>
        <w:ind w:hanging="240"/>
        <w:jc w:val="left"/>
        <w:textAlignment w:val="baseline"/>
        <w:rPr>
          <w:rFonts w:ascii="メイリオ" w:eastAsia="メイリオ" w:hAnsi="メイリオ" w:cs="ＭＳ Ｐゴシック" w:hint="eastAsia"/>
          <w:color w:val="323232"/>
          <w:kern w:val="0"/>
          <w:sz w:val="20"/>
          <w:szCs w:val="20"/>
          <w14:ligatures w14:val="none"/>
        </w:rPr>
      </w:pPr>
      <w:r w:rsidRPr="00437166">
        <w:rPr>
          <w:rFonts w:ascii="inherit" w:eastAsia="メイリオ" w:hAnsi="inherit" w:cs="ＭＳ Ｐゴシック"/>
          <w:b/>
          <w:bCs/>
          <w:color w:val="323232"/>
          <w:kern w:val="0"/>
          <w:sz w:val="20"/>
          <w:szCs w:val="20"/>
          <w:bdr w:val="none" w:sz="0" w:space="0" w:color="auto" w:frame="1"/>
          <w14:ligatures w14:val="none"/>
        </w:rPr>
        <w:t>二</w:t>
      </w:r>
      <w:r w:rsidRPr="00437166">
        <w:rPr>
          <w:rFonts w:ascii="メイリオ" w:eastAsia="メイリオ" w:hAnsi="メイリオ" w:cs="ＭＳ Ｐゴシック" w:hint="eastAsia"/>
          <w:color w:val="323232"/>
          <w:kern w:val="0"/>
          <w:sz w:val="20"/>
          <w:szCs w:val="20"/>
          <w14:ligatures w14:val="none"/>
        </w:rPr>
        <w:t xml:space="preserve">　国、地方公共団体又は別表第二に掲げる者が作成した文書</w:t>
      </w:r>
    </w:p>
    <w:p w14:paraId="2B4D43C4" w14:textId="77777777" w:rsidR="00437166" w:rsidRDefault="00437166" w:rsidP="00437166">
      <w:pPr>
        <w:widowControl/>
        <w:spacing w:line="240" w:lineRule="exact"/>
        <w:ind w:hanging="240"/>
        <w:jc w:val="left"/>
        <w:textAlignment w:val="baseline"/>
        <w:rPr>
          <w:rFonts w:ascii="メイリオ" w:eastAsia="メイリオ" w:hAnsi="メイリオ" w:cs="ＭＳ Ｐゴシック"/>
          <w:color w:val="323232"/>
          <w:kern w:val="0"/>
          <w:sz w:val="20"/>
          <w:szCs w:val="20"/>
          <w14:ligatures w14:val="none"/>
        </w:rPr>
      </w:pPr>
      <w:r w:rsidRPr="00437166">
        <w:rPr>
          <w:rFonts w:ascii="inherit" w:eastAsia="メイリオ" w:hAnsi="inherit" w:cs="ＭＳ Ｐゴシック"/>
          <w:b/>
          <w:bCs/>
          <w:color w:val="323232"/>
          <w:kern w:val="0"/>
          <w:sz w:val="20"/>
          <w:szCs w:val="20"/>
          <w:bdr w:val="none" w:sz="0" w:space="0" w:color="auto" w:frame="1"/>
          <w14:ligatures w14:val="none"/>
        </w:rPr>
        <w:t>三</w:t>
      </w:r>
      <w:r w:rsidRPr="00437166">
        <w:rPr>
          <w:rFonts w:ascii="メイリオ" w:eastAsia="メイリオ" w:hAnsi="メイリオ" w:cs="ＭＳ Ｐゴシック" w:hint="eastAsia"/>
          <w:color w:val="323232"/>
          <w:kern w:val="0"/>
          <w:sz w:val="20"/>
          <w:szCs w:val="20"/>
          <w14:ligatures w14:val="none"/>
        </w:rPr>
        <w:t xml:space="preserve">　別表第三の上欄に掲げる文書で、同表の下欄に掲げる者が作成したもの</w:t>
      </w:r>
    </w:p>
    <w:p w14:paraId="4A931891" w14:textId="77777777" w:rsidR="00437166" w:rsidRPr="00437166" w:rsidRDefault="00437166" w:rsidP="00437166">
      <w:pPr>
        <w:widowControl/>
        <w:spacing w:line="240" w:lineRule="exact"/>
        <w:ind w:hanging="240"/>
        <w:jc w:val="left"/>
        <w:textAlignment w:val="baseline"/>
        <w:rPr>
          <w:rFonts w:ascii="メイリオ" w:eastAsia="メイリオ" w:hAnsi="メイリオ" w:cs="ＭＳ Ｐゴシック" w:hint="eastAsia"/>
          <w:color w:val="323232"/>
          <w:kern w:val="0"/>
          <w:sz w:val="20"/>
          <w:szCs w:val="20"/>
          <w14:ligatures w14:val="none"/>
        </w:rPr>
      </w:pPr>
    </w:p>
    <w:p w14:paraId="7B8D1729" w14:textId="6DB78FA2" w:rsidR="00437166" w:rsidRPr="00437166" w:rsidRDefault="00437166" w:rsidP="00437166">
      <w:pPr>
        <w:spacing w:line="240" w:lineRule="exact"/>
        <w:rPr>
          <w:sz w:val="20"/>
          <w:szCs w:val="20"/>
        </w:rPr>
      </w:pPr>
      <w:r w:rsidRPr="00437166">
        <w:rPr>
          <w:rFonts w:hint="eastAsia"/>
          <w:sz w:val="20"/>
          <w:szCs w:val="20"/>
        </w:rPr>
        <w:t>別表第一の１７号</w:t>
      </w:r>
    </w:p>
    <w:tbl>
      <w:tblPr>
        <w:tblW w:w="0" w:type="auto"/>
        <w:tblInd w:w="240" w:type="dxa"/>
        <w:tblCellMar>
          <w:left w:w="0" w:type="dxa"/>
          <w:right w:w="0" w:type="dxa"/>
        </w:tblCellMar>
        <w:tblLook w:val="04A0" w:firstRow="1" w:lastRow="0" w:firstColumn="1" w:lastColumn="0" w:noHBand="0" w:noVBand="1"/>
      </w:tblPr>
      <w:tblGrid>
        <w:gridCol w:w="640"/>
        <w:gridCol w:w="5840"/>
      </w:tblGrid>
      <w:tr w:rsidR="00437166" w:rsidRPr="00437166" w14:paraId="0286839A" w14:textId="77777777" w:rsidTr="0043716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14:paraId="770D36CE" w14:textId="77777777" w:rsidR="00437166" w:rsidRPr="00437166" w:rsidRDefault="00437166" w:rsidP="00437166">
            <w:pPr>
              <w:widowControl/>
              <w:spacing w:line="240" w:lineRule="exact"/>
              <w:jc w:val="left"/>
              <w:textAlignment w:val="baseline"/>
              <w:rPr>
                <w:rFonts w:ascii="メイリオ" w:eastAsia="メイリオ" w:hAnsi="メイリオ" w:cs="ＭＳ Ｐゴシック"/>
                <w:color w:val="323232"/>
                <w:kern w:val="0"/>
                <w:sz w:val="20"/>
                <w:szCs w:val="20"/>
                <w14:ligatures w14:val="none"/>
              </w:rPr>
            </w:pPr>
            <w:r w:rsidRPr="00437166">
              <w:rPr>
                <w:rFonts w:ascii="メイリオ" w:eastAsia="メイリオ" w:hAnsi="メイリオ" w:cs="ＭＳ Ｐゴシック" w:hint="eastAsia"/>
                <w:color w:val="323232"/>
                <w:kern w:val="0"/>
                <w:sz w:val="20"/>
                <w:szCs w:val="20"/>
                <w14:ligatures w14:val="none"/>
              </w:rPr>
              <w:t>十七</w:t>
            </w:r>
          </w:p>
        </w:tc>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14:paraId="50FC84FB" w14:textId="77777777" w:rsidR="00437166" w:rsidRPr="00437166" w:rsidRDefault="00437166" w:rsidP="00437166">
            <w:pPr>
              <w:widowControl/>
              <w:spacing w:line="240" w:lineRule="exact"/>
              <w:jc w:val="left"/>
              <w:textAlignment w:val="baseline"/>
              <w:rPr>
                <w:rFonts w:ascii="メイリオ" w:eastAsia="メイリオ" w:hAnsi="メイリオ" w:cs="ＭＳ Ｐゴシック" w:hint="eastAsia"/>
                <w:color w:val="323232"/>
                <w:kern w:val="0"/>
                <w:sz w:val="20"/>
                <w:szCs w:val="20"/>
                <w14:ligatures w14:val="none"/>
              </w:rPr>
            </w:pPr>
            <w:r w:rsidRPr="00437166">
              <w:rPr>
                <w:rFonts w:ascii="メイリオ" w:eastAsia="メイリオ" w:hAnsi="メイリオ" w:cs="ＭＳ Ｐゴシック" w:hint="eastAsia"/>
                <w:color w:val="323232"/>
                <w:kern w:val="0"/>
                <w:sz w:val="20"/>
                <w:szCs w:val="20"/>
                <w14:ligatures w14:val="none"/>
              </w:rPr>
              <w:t xml:space="preserve">１　</w:t>
            </w:r>
            <w:r w:rsidRPr="00437166">
              <w:rPr>
                <w:rFonts w:ascii="メイリオ" w:eastAsia="メイリオ" w:hAnsi="メイリオ" w:cs="ＭＳ Ｐゴシック" w:hint="eastAsia"/>
                <w:color w:val="323232"/>
                <w:kern w:val="0"/>
                <w:sz w:val="20"/>
                <w:szCs w:val="20"/>
                <w:highlight w:val="yellow"/>
                <w14:ligatures w14:val="none"/>
              </w:rPr>
              <w:t>売上代金に係る金銭又は有価証券の受取書</w:t>
            </w:r>
            <w:r w:rsidRPr="00437166">
              <w:rPr>
                <w:rFonts w:ascii="メイリオ" w:eastAsia="メイリオ" w:hAnsi="メイリオ" w:cs="ＭＳ Ｐゴシック" w:hint="eastAsia"/>
                <w:color w:val="323232"/>
                <w:kern w:val="0"/>
                <w:sz w:val="20"/>
                <w:szCs w:val="20"/>
                <w14:ligatures w14:val="none"/>
              </w:rPr>
              <w:br/>
              <w:t>２　金銭又は有価証券の受取書で１に掲げる受取書以外のもの</w:t>
            </w:r>
          </w:p>
        </w:tc>
      </w:tr>
    </w:tbl>
    <w:p w14:paraId="24AF1ED1" w14:textId="77777777" w:rsidR="00437166" w:rsidRDefault="00437166" w:rsidP="00437166">
      <w:pPr>
        <w:spacing w:line="240" w:lineRule="exact"/>
        <w:rPr>
          <w:sz w:val="20"/>
          <w:szCs w:val="20"/>
        </w:rPr>
      </w:pPr>
    </w:p>
    <w:p w14:paraId="566C4FBB" w14:textId="08223DF2" w:rsidR="00437166" w:rsidRPr="00437166" w:rsidRDefault="00437166" w:rsidP="00437166">
      <w:pPr>
        <w:spacing w:line="240" w:lineRule="exact"/>
        <w:rPr>
          <w:rFonts w:hint="eastAsia"/>
          <w:sz w:val="20"/>
          <w:szCs w:val="20"/>
        </w:rPr>
      </w:pPr>
      <w:r w:rsidRPr="00437166">
        <w:rPr>
          <w:rFonts w:hint="eastAsia"/>
          <w:sz w:val="20"/>
          <w:szCs w:val="20"/>
        </w:rPr>
        <w:t>非課税</w:t>
      </w:r>
    </w:p>
    <w:p w14:paraId="59E78840" w14:textId="168F458E" w:rsidR="00437166" w:rsidRDefault="00437166" w:rsidP="00437166">
      <w:pPr>
        <w:spacing w:line="240" w:lineRule="exact"/>
        <w:rPr>
          <w:rFonts w:ascii="メイリオ" w:eastAsia="メイリオ" w:hAnsi="メイリオ"/>
          <w:color w:val="323232"/>
          <w:sz w:val="20"/>
          <w:szCs w:val="20"/>
        </w:rPr>
      </w:pPr>
      <w:r w:rsidRPr="00437166">
        <w:rPr>
          <w:rFonts w:ascii="メイリオ" w:eastAsia="メイリオ" w:hAnsi="メイリオ" w:hint="eastAsia"/>
          <w:color w:val="323232"/>
          <w:sz w:val="20"/>
          <w:szCs w:val="20"/>
        </w:rPr>
        <w:t>１　記載された受取金額が五万円未満の受取書</w:t>
      </w:r>
      <w:r w:rsidRPr="00437166">
        <w:rPr>
          <w:rFonts w:ascii="メイリオ" w:eastAsia="メイリオ" w:hAnsi="メイリオ" w:hint="eastAsia"/>
          <w:color w:val="323232"/>
          <w:sz w:val="20"/>
          <w:szCs w:val="20"/>
        </w:rPr>
        <w:br/>
        <w:t xml:space="preserve">２　</w:t>
      </w:r>
      <w:r w:rsidRPr="00437166">
        <w:rPr>
          <w:rFonts w:ascii="メイリオ" w:eastAsia="メイリオ" w:hAnsi="メイリオ" w:hint="eastAsia"/>
          <w:color w:val="323232"/>
          <w:sz w:val="20"/>
          <w:szCs w:val="20"/>
          <w:highlight w:val="yellow"/>
        </w:rPr>
        <w:t>営業</w:t>
      </w:r>
      <w:r w:rsidRPr="00437166">
        <w:rPr>
          <w:rFonts w:ascii="メイリオ" w:eastAsia="メイリオ" w:hAnsi="メイリオ" w:hint="eastAsia"/>
          <w:color w:val="323232"/>
          <w:sz w:val="20"/>
          <w:szCs w:val="20"/>
        </w:rPr>
        <w:t>（会社以外の法人で、法令の規定又は定款の定めにより利益金又は剰余金の配当又は分配をすることができることと</w:t>
      </w:r>
      <w:proofErr w:type="gramStart"/>
      <w:r w:rsidRPr="00437166">
        <w:rPr>
          <w:rFonts w:ascii="メイリオ" w:eastAsia="メイリオ" w:hAnsi="メイリオ" w:hint="eastAsia"/>
          <w:color w:val="323232"/>
          <w:sz w:val="20"/>
          <w:szCs w:val="20"/>
        </w:rPr>
        <w:t>なつて</w:t>
      </w:r>
      <w:proofErr w:type="gramEnd"/>
      <w:r w:rsidRPr="00437166">
        <w:rPr>
          <w:rFonts w:ascii="メイリオ" w:eastAsia="メイリオ" w:hAnsi="メイリオ" w:hint="eastAsia"/>
          <w:color w:val="323232"/>
          <w:sz w:val="20"/>
          <w:szCs w:val="20"/>
        </w:rPr>
        <w:t>いるものが、その出資者以外の者に対して行う事業を含み、当該出資者がその出資をした法人に対して行う営業を除く。）</w:t>
      </w:r>
      <w:r w:rsidRPr="00437166">
        <w:rPr>
          <w:rFonts w:ascii="メイリオ" w:eastAsia="メイリオ" w:hAnsi="メイリオ" w:hint="eastAsia"/>
          <w:color w:val="323232"/>
          <w:sz w:val="20"/>
          <w:szCs w:val="20"/>
          <w:highlight w:val="yellow"/>
        </w:rPr>
        <w:t>に関しない受取書</w:t>
      </w:r>
      <w:r w:rsidRPr="00437166">
        <w:rPr>
          <w:rFonts w:ascii="メイリオ" w:eastAsia="メイリオ" w:hAnsi="メイリオ" w:hint="eastAsia"/>
          <w:color w:val="323232"/>
          <w:sz w:val="20"/>
          <w:szCs w:val="20"/>
        </w:rPr>
        <w:br/>
        <w:t>３　有価証券又は第八号、第十二号、第十四号若しくは前号に掲げる文書に追記した受取書</w:t>
      </w:r>
    </w:p>
    <w:p w14:paraId="0087AE1A" w14:textId="77777777" w:rsidR="00437166" w:rsidRDefault="00437166" w:rsidP="00437166">
      <w:pPr>
        <w:spacing w:line="240" w:lineRule="exact"/>
        <w:rPr>
          <w:rFonts w:ascii="メイリオ" w:eastAsia="メイリオ" w:hAnsi="メイリオ" w:hint="eastAsia"/>
          <w:color w:val="323232"/>
          <w:sz w:val="20"/>
          <w:szCs w:val="20"/>
        </w:rPr>
      </w:pPr>
    </w:p>
    <w:p w14:paraId="2A9DDCAB" w14:textId="4F210145" w:rsidR="00437166" w:rsidRPr="00437166" w:rsidRDefault="00437166" w:rsidP="00437166">
      <w:pPr>
        <w:pStyle w:val="1"/>
        <w:shd w:val="clear" w:color="auto" w:fill="FFFFFF"/>
        <w:spacing w:after="150" w:line="240" w:lineRule="exact"/>
        <w:rPr>
          <w:rFonts w:ascii="メイリオ" w:eastAsia="メイリオ" w:hAnsi="メイリオ" w:cs="ＭＳ Ｐゴシック"/>
          <w:b/>
          <w:bCs/>
          <w:color w:val="333333"/>
          <w:spacing w:val="2"/>
          <w:kern w:val="0"/>
          <w:sz w:val="20"/>
          <w:szCs w:val="20"/>
          <w14:ligatures w14:val="none"/>
        </w:rPr>
      </w:pPr>
      <w:r w:rsidRPr="00437166">
        <w:rPr>
          <w:rFonts w:ascii="メイリオ" w:eastAsia="メイリオ" w:hAnsi="メイリオ" w:hint="eastAsia"/>
          <w:color w:val="333333"/>
          <w:spacing w:val="2"/>
        </w:rPr>
        <w:t>第17号文書</w:t>
      </w:r>
      <w:r>
        <w:rPr>
          <w:rFonts w:ascii="メイリオ" w:eastAsia="メイリオ" w:hAnsi="メイリオ" w:hint="eastAsia"/>
          <w:color w:val="333333"/>
          <w:spacing w:val="2"/>
        </w:rPr>
        <w:t xml:space="preserve">　</w:t>
      </w:r>
      <w:r w:rsidRPr="00437166">
        <w:rPr>
          <w:rFonts w:ascii="メイリオ" w:eastAsia="メイリオ" w:hAnsi="メイリオ" w:cs="ＭＳ Ｐゴシック" w:hint="eastAsia"/>
          <w:b/>
          <w:bCs/>
          <w:color w:val="333333"/>
          <w:spacing w:val="2"/>
          <w:kern w:val="0"/>
          <w:sz w:val="20"/>
          <w:szCs w:val="20"/>
          <w:highlight w:val="yellow"/>
          <w14:ligatures w14:val="none"/>
        </w:rPr>
        <w:t>弁護士等の作成する受取書）</w:t>
      </w:r>
    </w:p>
    <w:p w14:paraId="052750C2" w14:textId="77777777" w:rsidR="00437166" w:rsidRPr="00437166" w:rsidRDefault="00437166" w:rsidP="00437166">
      <w:pPr>
        <w:widowControl/>
        <w:shd w:val="clear" w:color="auto" w:fill="FFFFFF"/>
        <w:spacing w:before="240" w:after="240" w:line="240" w:lineRule="exact"/>
        <w:ind w:hanging="240"/>
        <w:jc w:val="left"/>
        <w:rPr>
          <w:rFonts w:ascii="メイリオ" w:eastAsia="メイリオ" w:hAnsi="メイリオ" w:cs="ＭＳ Ｐゴシック" w:hint="eastAsia"/>
          <w:color w:val="333333"/>
          <w:kern w:val="0"/>
          <w:sz w:val="20"/>
          <w:szCs w:val="20"/>
          <w14:ligatures w14:val="none"/>
        </w:rPr>
      </w:pPr>
      <w:r w:rsidRPr="00437166">
        <w:rPr>
          <w:rFonts w:ascii="メイリオ" w:eastAsia="メイリオ" w:hAnsi="メイリオ" w:cs="ＭＳ Ｐゴシック" w:hint="eastAsia"/>
          <w:b/>
          <w:bCs/>
          <w:color w:val="333333"/>
          <w:kern w:val="0"/>
          <w:sz w:val="20"/>
          <w:szCs w:val="20"/>
          <w14:ligatures w14:val="none"/>
        </w:rPr>
        <w:t xml:space="preserve">26　</w:t>
      </w:r>
      <w:r w:rsidRPr="00437166">
        <w:rPr>
          <w:rFonts w:ascii="メイリオ" w:eastAsia="メイリオ" w:hAnsi="メイリオ" w:cs="ＭＳ Ｐゴシック" w:hint="eastAsia"/>
          <w:color w:val="333333"/>
          <w:kern w:val="0"/>
          <w:sz w:val="20"/>
          <w:szCs w:val="20"/>
          <w14:ligatures w14:val="none"/>
        </w:rPr>
        <w:t>弁護士、弁理士、公認会計士、計理士、司法書士、</w:t>
      </w:r>
      <w:r w:rsidRPr="00437166">
        <w:rPr>
          <w:rFonts w:ascii="メイリオ" w:eastAsia="メイリオ" w:hAnsi="メイリオ" w:cs="ＭＳ Ｐゴシック" w:hint="eastAsia"/>
          <w:color w:val="333333"/>
          <w:kern w:val="0"/>
          <w:sz w:val="20"/>
          <w:szCs w:val="20"/>
          <w:highlight w:val="yellow"/>
          <w14:ligatures w14:val="none"/>
        </w:rPr>
        <w:t>行政書士</w:t>
      </w:r>
      <w:r w:rsidRPr="00437166">
        <w:rPr>
          <w:rFonts w:ascii="メイリオ" w:eastAsia="メイリオ" w:hAnsi="メイリオ" w:cs="ＭＳ Ｐゴシック" w:hint="eastAsia"/>
          <w:color w:val="333333"/>
          <w:kern w:val="0"/>
          <w:sz w:val="20"/>
          <w:szCs w:val="20"/>
          <w14:ligatures w14:val="none"/>
        </w:rPr>
        <w:t>、税理士、中小企業診断士、不動産鑑定士、土地家屋調査士、建築士、設計士、海事代理士、技術士、社会保険労務士等</w:t>
      </w:r>
      <w:r w:rsidRPr="00437166">
        <w:rPr>
          <w:rFonts w:ascii="メイリオ" w:eastAsia="メイリオ" w:hAnsi="メイリオ" w:cs="ＭＳ Ｐゴシック" w:hint="eastAsia"/>
          <w:color w:val="333333"/>
          <w:kern w:val="0"/>
          <w:sz w:val="20"/>
          <w:szCs w:val="20"/>
          <w:highlight w:val="yellow"/>
          <w14:ligatures w14:val="none"/>
        </w:rPr>
        <w:t>がその業務上作成する受取書は、営業に関しない受取書として取り扱う。</w:t>
      </w:r>
    </w:p>
    <w:p w14:paraId="5A9D0EE9" w14:textId="77777777" w:rsidR="00437166" w:rsidRPr="00437166" w:rsidRDefault="00437166">
      <w:pPr>
        <w:rPr>
          <w:rFonts w:hint="eastAsia"/>
        </w:rPr>
      </w:pPr>
    </w:p>
    <w:sectPr w:rsidR="00437166" w:rsidRPr="004371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inheri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66"/>
    <w:rsid w:val="00437166"/>
    <w:rsid w:val="00BF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A81BB"/>
  <w15:chartTrackingRefBased/>
  <w15:docId w15:val="{F1595278-8F9F-4F6E-988C-85DD5007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7166"/>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43716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37166"/>
    <w:rPr>
      <w:rFonts w:ascii="ＭＳ Ｐゴシック" w:eastAsia="ＭＳ Ｐゴシック" w:hAnsi="ＭＳ Ｐゴシック" w:cs="ＭＳ Ｐゴシック"/>
      <w:b/>
      <w:bCs/>
      <w:kern w:val="0"/>
      <w:sz w:val="36"/>
      <w:szCs w:val="36"/>
      <w14:ligatures w14:val="none"/>
    </w:rPr>
  </w:style>
  <w:style w:type="paragraph" w:customStyle="1" w:styleId="indent1">
    <w:name w:val="indent1"/>
    <w:basedOn w:val="a"/>
    <w:rsid w:val="00437166"/>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3">
    <w:name w:val="Strong"/>
    <w:basedOn w:val="a0"/>
    <w:uiPriority w:val="22"/>
    <w:qFormat/>
    <w:rsid w:val="00437166"/>
    <w:rPr>
      <w:b/>
      <w:bCs/>
    </w:rPr>
  </w:style>
  <w:style w:type="character" w:customStyle="1" w:styleId="10">
    <w:name w:val="見出し 1 (文字)"/>
    <w:basedOn w:val="a0"/>
    <w:link w:val="1"/>
    <w:uiPriority w:val="9"/>
    <w:rsid w:val="0043716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832">
      <w:bodyDiv w:val="1"/>
      <w:marLeft w:val="0"/>
      <w:marRight w:val="0"/>
      <w:marTop w:val="0"/>
      <w:marBottom w:val="0"/>
      <w:divBdr>
        <w:top w:val="none" w:sz="0" w:space="0" w:color="auto"/>
        <w:left w:val="none" w:sz="0" w:space="0" w:color="auto"/>
        <w:bottom w:val="none" w:sz="0" w:space="0" w:color="auto"/>
        <w:right w:val="none" w:sz="0" w:space="0" w:color="auto"/>
      </w:divBdr>
    </w:div>
    <w:div w:id="1413546231">
      <w:bodyDiv w:val="1"/>
      <w:marLeft w:val="0"/>
      <w:marRight w:val="0"/>
      <w:marTop w:val="0"/>
      <w:marBottom w:val="0"/>
      <w:divBdr>
        <w:top w:val="none" w:sz="0" w:space="0" w:color="auto"/>
        <w:left w:val="none" w:sz="0" w:space="0" w:color="auto"/>
        <w:bottom w:val="none" w:sz="0" w:space="0" w:color="auto"/>
        <w:right w:val="none" w:sz="0" w:space="0" w:color="auto"/>
      </w:divBdr>
      <w:divsChild>
        <w:div w:id="1840924403">
          <w:marLeft w:val="0"/>
          <w:marRight w:val="0"/>
          <w:marTop w:val="0"/>
          <w:marBottom w:val="0"/>
          <w:divBdr>
            <w:top w:val="none" w:sz="0" w:space="0" w:color="auto"/>
            <w:left w:val="none" w:sz="0" w:space="0" w:color="auto"/>
            <w:bottom w:val="none" w:sz="0" w:space="0" w:color="auto"/>
            <w:right w:val="none" w:sz="0" w:space="0" w:color="auto"/>
          </w:divBdr>
        </w:div>
        <w:div w:id="1905798433">
          <w:marLeft w:val="0"/>
          <w:marRight w:val="0"/>
          <w:marTop w:val="0"/>
          <w:marBottom w:val="0"/>
          <w:divBdr>
            <w:top w:val="none" w:sz="0" w:space="0" w:color="auto"/>
            <w:left w:val="none" w:sz="0" w:space="0" w:color="auto"/>
            <w:bottom w:val="none" w:sz="0" w:space="0" w:color="auto"/>
            <w:right w:val="none" w:sz="0" w:space="0" w:color="auto"/>
          </w:divBdr>
        </w:div>
      </w:divsChild>
    </w:div>
    <w:div w:id="1622035023">
      <w:bodyDiv w:val="1"/>
      <w:marLeft w:val="0"/>
      <w:marRight w:val="0"/>
      <w:marTop w:val="0"/>
      <w:marBottom w:val="0"/>
      <w:divBdr>
        <w:top w:val="none" w:sz="0" w:space="0" w:color="auto"/>
        <w:left w:val="none" w:sz="0" w:space="0" w:color="auto"/>
        <w:bottom w:val="none" w:sz="0" w:space="0" w:color="auto"/>
        <w:right w:val="none" w:sz="0" w:space="0" w:color="auto"/>
      </w:divBdr>
      <w:divsChild>
        <w:div w:id="133958045">
          <w:marLeft w:val="240"/>
          <w:marRight w:val="0"/>
          <w:marTop w:val="0"/>
          <w:marBottom w:val="0"/>
          <w:divBdr>
            <w:top w:val="none" w:sz="0" w:space="0" w:color="auto"/>
            <w:left w:val="none" w:sz="0" w:space="0" w:color="auto"/>
            <w:bottom w:val="none" w:sz="0" w:space="0" w:color="auto"/>
            <w:right w:val="none" w:sz="0" w:space="0" w:color="auto"/>
          </w:divBdr>
        </w:div>
        <w:div w:id="163252460">
          <w:marLeft w:val="240"/>
          <w:marRight w:val="0"/>
          <w:marTop w:val="0"/>
          <w:marBottom w:val="0"/>
          <w:divBdr>
            <w:top w:val="none" w:sz="0" w:space="0" w:color="auto"/>
            <w:left w:val="none" w:sz="0" w:space="0" w:color="auto"/>
            <w:bottom w:val="none" w:sz="0" w:space="0" w:color="auto"/>
            <w:right w:val="none" w:sz="0" w:space="0" w:color="auto"/>
          </w:divBdr>
          <w:divsChild>
            <w:div w:id="1719890235">
              <w:marLeft w:val="240"/>
              <w:marRight w:val="0"/>
              <w:marTop w:val="0"/>
              <w:marBottom w:val="0"/>
              <w:divBdr>
                <w:top w:val="none" w:sz="0" w:space="0" w:color="auto"/>
                <w:left w:val="none" w:sz="0" w:space="0" w:color="auto"/>
                <w:bottom w:val="none" w:sz="0" w:space="0" w:color="auto"/>
                <w:right w:val="none" w:sz="0" w:space="0" w:color="auto"/>
              </w:divBdr>
            </w:div>
            <w:div w:id="215313704">
              <w:marLeft w:val="240"/>
              <w:marRight w:val="0"/>
              <w:marTop w:val="0"/>
              <w:marBottom w:val="0"/>
              <w:divBdr>
                <w:top w:val="none" w:sz="0" w:space="0" w:color="auto"/>
                <w:left w:val="none" w:sz="0" w:space="0" w:color="auto"/>
                <w:bottom w:val="none" w:sz="0" w:space="0" w:color="auto"/>
                <w:right w:val="none" w:sz="0" w:space="0" w:color="auto"/>
              </w:divBdr>
            </w:div>
            <w:div w:id="787166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55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邦之 松原</dc:creator>
  <cp:keywords/>
  <dc:description/>
  <cp:lastModifiedBy>邦之 松原</cp:lastModifiedBy>
  <cp:revision>1</cp:revision>
  <dcterms:created xsi:type="dcterms:W3CDTF">2024-04-08T03:20:00Z</dcterms:created>
  <dcterms:modified xsi:type="dcterms:W3CDTF">2024-04-08T03:33:00Z</dcterms:modified>
</cp:coreProperties>
</file>